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о своих ресурсах (личностных, психофизиологических, ситуативных, временных и т.д.) и их пределах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условия, средства, личностные возможности, этапы карьерного роста, перспективу развития деятельности и требования рынка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основы тайм-менеджмента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использовать  свои ресурсы для успешного выполнения порученной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планировать перспективные цели деятельности на основе учета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учитывать условия,  средства,  личностные  возможности, этапы карьерного  роста,  временную  перспективу развития деятельности и требования рынка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использовать время и другие ресурсы при решении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использовать предоставляемые  возможности  для  приобретения новых знаний и навыков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умением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УК-6.12 владеть умением демонстрировать интерес к учебе и использовать предоставляемые возможности для приобретения новых знаний и навыков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и нормы здорового образа жизни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основные здоровьесберегающие технологии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выбирать здоровьесберегающие технологии с учетом внутренних и внешних условий реализации  конкретной  профессиональной деятельности</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навыками соблюдения т норм  здорового образа жизни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навыками  выбора  здоровьесберегающих технологий для реализации конкретной профессиональной деятельности на основе физической культуры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«Физическая культура и спорт»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практика)</w:t>
            </w:r>
          </w:p>
          <w:p>
            <w:pPr>
              <w:jc w:val="center"/>
              <w:spacing w:after="0" w:line="240" w:lineRule="auto"/>
              <w:rPr>
                <w:sz w:val="22"/>
                <w:szCs w:val="22"/>
              </w:rPr>
            </w:pPr>
            <w:r>
              <w:rPr>
                <w:rFonts w:ascii="Times New Roman" w:hAnsi="Times New Roman" w:cs="Times New Roman"/>
                <w:color w:val="#000000"/>
                <w:sz w:val="22"/>
                <w:szCs w:val="22"/>
              </w:rPr>
              <w:t> Анатомия, физиология и гигиена детей с</w:t>
            </w:r>
          </w:p>
          <w:p>
            <w:pPr>
              <w:jc w:val="center"/>
              <w:spacing w:after="0" w:line="240" w:lineRule="auto"/>
              <w:rPr>
                <w:sz w:val="22"/>
                <w:szCs w:val="22"/>
              </w:rPr>
            </w:pPr>
            <w:r>
              <w:rPr>
                <w:rFonts w:ascii="Times New Roman" w:hAnsi="Times New Roman" w:cs="Times New Roman"/>
                <w:color w:val="#000000"/>
                <w:sz w:val="22"/>
                <w:szCs w:val="22"/>
              </w:rPr>
              <w:t> ограниченными возможностями здоровья</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УК-7</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148.80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5391.7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7075.9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733.3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здорового образа жизни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2024-2025_ФГОС3++2024_Бак-ЗФО-СДО(Олигоф)(24)_plx_Физическая культура и спорт</dc:title>
  <dc:creator>FastReport.NET</dc:creator>
</cp:coreProperties>
</file>